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Гигиена детей и подростков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02:39 МСК · База обновлена: 27.08.2026, 19:34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Гигиена детей и подростков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Подготовить и провести плановое выездное обследование дошкольной образовательной организации.</w:t>
      </w:r>
    </w:p>
    <w:p>
      <w:pPr>
        <w:pStyle w:val="Heading2"/>
      </w:pPr>
      <w:r>
        <w:t>1. Оценка ситуации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подготовительной работе перед началом плановых надзорных мероприятий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отправку уведомления о начале надзорного мероприятия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отправку запроса о предоставлении документации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принятие решения о проведении надзорного мероприятия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согласование плана надзорных мероприятий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размещение информации о плане надзорных мероприятий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планирование надзорных мероприятий в соответствии с риск-ориентированным подходом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отправку уведомления о начале надзорного мероприятия</w:t>
      </w:r>
      <w:r>
        <w:br/>
      </w:r>
      <w:r>
        <w:rPr>
          <w:b/>
          <w:i w:val="0"/>
        </w:rPr>
        <w:t>3 - принятие решения о проведении надзорного мероприятия</w:t>
      </w:r>
      <w:r>
        <w:br/>
      </w:r>
      <w:r>
        <w:rPr>
          <w:b/>
          <w:i w:val="0"/>
        </w:rPr>
        <w:t>4 - согласование плана надзорных мероприятий</w:t>
      </w:r>
      <w:r>
        <w:br/>
      </w:r>
      <w:r>
        <w:rPr>
          <w:b/>
          <w:i w:val="0"/>
        </w:rPr>
        <w:t>5 - размещение информации о плане надзорных мероприятий</w:t>
      </w:r>
      <w:r>
        <w:br/>
      </w:r>
      <w:r>
        <w:rPr>
          <w:b/>
          <w:i w:val="0"/>
        </w:rPr>
        <w:t>6 - планирование надзорных мероприятий в соответствии с риск-ориентированным подходом</w:t>
      </w:r>
    </w:p>
    <w:p>
      <w:pPr>
        <w:spacing w:after="58"/>
      </w:pPr>
      <w:r>
        <w:rPr>
          <w:b w:val="0"/>
          <w:i w:val="0"/>
        </w:rPr>
        <w:t>Информирование контролируемых лиц о совершаемых должностными лицами контрольного (надзорного) органа и иными уполномоченными лицами действиях и принимаемых решениях осуществляется в сроки и порядке, установленные настоящим Федеральным законом, путем размещения сведений об указанных действиях и решениях в едином реестре контрольных (надзорных) мероприятий, а также 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«Единый портал государственных и муниципальных услуг (функций)» (далее - единый портал государственных и муниципальных услуг) и (или) через региональный портал государственных и муниципальных услуг.</w:t>
      </w:r>
    </w:p>
    <w:p>
      <w:pPr>
        <w:spacing w:after="58"/>
      </w:pPr>
      <w:r>
        <w:rPr>
          <w:b w:val="0"/>
          <w:i w:val="0"/>
        </w:rPr>
        <w:t>Федерального закона № 248-ФЗ «О государственном контроле (надзоре) и муниципальном контроле в Российской Федерации» от 31.07.2020, п.4 ст.21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Федеральный закон 31 июля 2020 г. N 248-ФЗ "О государственном контроле (надзоре) и муниципальном контроле в Российской Федерации"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Для проведения контрольного (надзорного) мероприятия принимается решение контрольного (надзорного) органа, подписанное уполномоченным должностным лицом контрольного (надзорного) органа (далее - решение о проведении контрольного (надзорного) мероприятия, предусматривающего взаимодействие с контролируемым лицом, а также документарной проверки) «..»</w:t>
      </w:r>
    </w:p>
    <w:p>
      <w:pPr>
        <w:spacing w:after="58"/>
      </w:pPr>
      <w:r>
        <w:rPr>
          <w:b w:val="0"/>
          <w:i w:val="0"/>
        </w:rPr>
        <w:t>Федерального закона № 248-ФЗ «О государственном контроле (надзоре) и муниципальном контроле в Российской Федерации» от 31.07.2020, п.1 ст.64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Федеральный закон 31 июля 2020 г. N 248-ФЗ "О государственном контроле (надзоре) и муниципальном контроле в Российской Федерации"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Плановые контрольные (надзорные) мероприятия проводятся на основании плана проведения плановых контрольных (надзорных) мероприятий на очередной календарный год (далее - ежегодный план контрольных (надзорных) мероприятий), формируемого контрольным (надзорным) органом и подлежащего согласованию с органами прокуратуры.</w:t>
      </w:r>
    </w:p>
    <w:p>
      <w:pPr>
        <w:spacing w:after="58"/>
      </w:pPr>
      <w:r>
        <w:rPr>
          <w:b w:val="0"/>
          <w:i w:val="0"/>
        </w:rPr>
        <w:t>Федерального закона № 248-ФЗ «О государственном контроле (надзоре) и муниципальном контроле в Российской Федерации» от 31.07.2020, ст. 61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Федеральный закон 31 июля 2020 г. N 248-ФЗ "О государственном контроле (надзоре) и муниципальном контроле в Российской Федерации"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целях информационного обеспечения государственного контроля (надзора), муниципального контроля создаются:</w:t>
      </w:r>
    </w:p>
    <w:p>
      <w:pPr>
        <w:spacing w:after="58"/>
      </w:pPr>
      <w:r>
        <w:rPr>
          <w:b w:val="0"/>
          <w:i w:val="0"/>
        </w:rPr>
        <w:t>1) единый реестр видов федерального государственного контроля (надзора), регионального государственного контроля (надзора), муниципального контроля (далее также - единый реестр видов контроля);</w:t>
      </w:r>
    </w:p>
    <w:p>
      <w:pPr>
        <w:spacing w:after="58"/>
      </w:pPr>
      <w:r>
        <w:rPr>
          <w:b w:val="0"/>
          <w:i w:val="0"/>
        </w:rPr>
        <w:t>2) единый реестр контрольных (надзорных) мероприятий «…».</w:t>
      </w:r>
    </w:p>
    <w:p>
      <w:pPr>
        <w:spacing w:after="58"/>
      </w:pPr>
      <w:r>
        <w:rPr>
          <w:b w:val="0"/>
          <w:i w:val="0"/>
        </w:rPr>
        <w:t>Проведение контрольных (надзорных) мероприятий, информация о которых на момент начала их проведения в едином реестре контрольных (надзорных) мероприятий отсутствует, не допускается.</w:t>
      </w:r>
    </w:p>
    <w:p>
      <w:pPr>
        <w:spacing w:after="58"/>
      </w:pPr>
      <w:r>
        <w:rPr>
          <w:b w:val="0"/>
          <w:i w:val="0"/>
        </w:rPr>
        <w:t>Федерального закона № 248-ФЗ «О государственном контроле (надзоре) и муниципальном контроле в Российской Федерации» от 31.07.2020, п.1 ст.17, п.4 ст. 19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Федеральный закон 31 июля 2020 г. N 248-ФЗ "О государственном контроле (надзоре) и муниципальном контроле в Российской Федерации"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r>
        <w:rPr>
          <w:b w:val="0"/>
          <w:i w:val="0"/>
        </w:rPr>
        <w:t>Государственный контроль (надзор), муниципальный контроль осуществляются на основе управления рисками причинения вреда (ущерба), определяющего выбор профилактических мероприятий и контрольных (надзорных) мероприятий, их содержание (в том числе объем проверяемых обязательных требований), интенсивность и результаты.</w:t>
      </w:r>
    </w:p>
    <w:p>
      <w:pPr>
        <w:spacing w:after="58"/>
      </w:pPr>
      <w:r>
        <w:rPr>
          <w:b w:val="0"/>
          <w:i w:val="0"/>
        </w:rPr>
        <w:t>В соответствии с п.1 ст. 22 Федерального закона «О государственном контроле (надзоре) и муниципальном контроле в Российской Федерации» от 31.07.2020 № 248-ФЗ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Федеральный закон 31 июля 2020 г. N 248-ФЗ "О государственном контроле (надзоре) и муниципальном контроле в Российской Федерации"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Зонирование собственной территории дошкольной организации предусматривает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выделение игровой зоны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выделение физкультурно-оздоровительной зоны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групповых и физкультурно-оздоровительных площадок в игровой зоне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выделение хозяйственной зоны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выделение учебно-опытной зоны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специально выделенного места для хранения колясок, санок, велосипедов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выделение игровой зоны</w:t>
      </w:r>
      <w:r>
        <w:br/>
      </w:r>
      <w:r>
        <w:rPr>
          <w:b/>
          <w:i w:val="0"/>
        </w:rPr>
        <w:t>3 - наличие групповых и физкультурно-оздоровительных площадок в игровой зоне</w:t>
      </w:r>
      <w:r>
        <w:br/>
      </w:r>
      <w:r>
        <w:rPr>
          <w:b/>
          <w:i w:val="0"/>
        </w:rPr>
        <w:t>4 - выделение хозяйственной зоны</w:t>
      </w:r>
      <w:r>
        <w:br/>
      </w:r>
      <w:r>
        <w:rPr>
          <w:b/>
          <w:i w:val="0"/>
        </w:rPr>
        <w:t>6 - наличие специально выделенного места для хранения колясок, санок, велосипедов</w:t>
      </w:r>
    </w:p>
    <w:p>
      <w:pPr>
        <w:spacing w:after="58"/>
      </w:pPr>
      <w:r>
        <w:rPr>
          <w:b w:val="0"/>
          <w:i w:val="0"/>
        </w:rPr>
        <w:t>На собственной территории дошкольной организации следует располагать игровую (групповые и физкультурно-оздоровительные площадки) и хозяйственную зоны, а также место для хранения колясок, велосипедов, санок.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3.1.2.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На собственной территории дошкольной организации следует располагать игровую (групповые и физкультурно-оздоровительные площадки) и хозяйственную зоны, а также место для хранения колясок, велосипедов, санок.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3.1.2.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На собственной территории дошкольной организации следует располагать игровую (групповые и физкультурно-оздоровительные площадки) и хозяйственную зоны, а также место для хранения колясок, велосипедов, санок.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3.1.2.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На собственной территории дошкольной организации следует располагать игровую (групповые и физкультурно-оздоровительные площадки) и хозяйственную зоны, а также место для хранения колясок, велосипедов, санок.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3.1.2.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 критериям, определяющим количество детей в группах дошкольной образовательной организации,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режим дня в организации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состояние здоровья воспитанников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показатели физического развития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компенсирующую или комбинированную направленность групп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климатическую зону размещения организации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возраст воспитанников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состояние здоровья воспитанников</w:t>
      </w:r>
      <w:r>
        <w:br/>
      </w:r>
      <w:r>
        <w:rPr>
          <w:b/>
          <w:i w:val="0"/>
        </w:rPr>
        <w:t>4 - компенсирующую или комбинированную направленность групп</w:t>
      </w:r>
      <w:r>
        <w:br/>
      </w:r>
      <w:r>
        <w:rPr>
          <w:b/>
          <w:i w:val="0"/>
        </w:rPr>
        <w:t>6 - возраст воспитанников</w:t>
      </w:r>
    </w:p>
    <w:p>
      <w:pPr>
        <w:spacing w:after="58"/>
      </w:pPr>
      <w:r>
        <w:rPr>
          <w:b w:val="0"/>
          <w:i w:val="0"/>
        </w:rPr>
        <w:t>Количество воспитанников с ограниченными возможностями здоровья определяется исходя из расчета соблюдения нормы площади на одного воспитанника, а также соблюдения требований к расстановке мебели в соответствии с Правилами.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3.1.1.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Количество детей в группах компенсирующей направленности не должно превышать:</w:t>
      </w:r>
    </w:p>
    <w:p>
      <w:pPr>
        <w:spacing w:after="58"/>
      </w:pPr>
      <w:r>
        <w:rPr>
          <w:b w:val="0"/>
          <w:i w:val="0"/>
        </w:rPr>
        <w:t>для детей с тяжелыми нарушениями речи - 6 детей в возрасте до 3 лет и 10 детей в возрасте старше 3 лет, для детей с фонетико-фонематическими нарушениями речи - 12 детей в возрасте старше 3 лет, для глухих детей - 6 детей для обеих возрастных групп «…»</w:t>
      </w:r>
    </w:p>
    <w:p>
      <w:pPr>
        <w:spacing w:after="58"/>
      </w:pPr>
      <w:r>
        <w:rPr>
          <w:b w:val="0"/>
          <w:i w:val="0"/>
        </w:rPr>
        <w:t>Количество детей в группах комбинированной направленности не должно превышать:</w:t>
      </w:r>
    </w:p>
    <w:p>
      <w:pPr>
        <w:spacing w:after="58"/>
      </w:pPr>
      <w:r>
        <w:rPr>
          <w:b w:val="0"/>
          <w:i w:val="0"/>
        </w:rPr>
        <w:t>в возрасте до 3 лет - не более 10 детей, в том числе не более 3 детей с ограниченными возможностями здоровья «…»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3.1.1.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Для групп раннего возраста (до 3 лет) - не менее 2,5 м на 1 ребенка и для групп дошкольного возраста (от 3 до 7 лет) - не менее 2 м на одного ребенка, без учета мебели и ее расстановки. Площадь спальной для детей до 3 дет должна составлять не менее 1,8 м на ребенка, для детей от 3 до 7 лет - не менее 2,0 м не ребенка. Физкультурный зал для детей дошкольного возраста должен быть не менее 75 м.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3.1.1.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Планировка помещений дошкольной образовательной организации предусматривает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размещение групповых ячеек не выше третьего этажа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размещение групповых ячеек для детей до 3-х лет на первом этаже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изолированных помещений для каждой детской группы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самостоятельный вход на игровую площадку из групповых ячеек для детей младенческого и раннего возраста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размещение всех групповых ячеек на 3-м этаже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размещение групповых ячеек для детей с нарушениями опорно-двигательного аппарата и зрения на 1-м этаже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размещение групповых ячеек не выше третьего этажа</w:t>
      </w:r>
      <w:r>
        <w:br/>
      </w:r>
      <w:r>
        <w:rPr>
          <w:b/>
          <w:i w:val="0"/>
        </w:rPr>
        <w:t>2 - размещение групповых ячеек для детей до 3-х лет на первом этаже</w:t>
      </w:r>
      <w:r>
        <w:br/>
      </w:r>
      <w:r>
        <w:rPr>
          <w:b/>
          <w:i w:val="0"/>
        </w:rPr>
        <w:t>3 - наличие изолированных помещений для каждой детской группы</w:t>
      </w:r>
      <w:r>
        <w:br/>
      </w:r>
      <w:r>
        <w:rPr>
          <w:b/>
          <w:i w:val="0"/>
        </w:rPr>
        <w:t>4 - самостоятельный вход на игровую площадку из групповых ячеек для детей младенческого и раннего возраста</w:t>
      </w:r>
      <w:r>
        <w:br/>
      </w:r>
      <w:r>
        <w:rPr>
          <w:b/>
          <w:i w:val="0"/>
        </w:rPr>
        <w:t>6 - размещение групповых ячеек для детей с нарушениями опорно-двигательного аппарата и зрения на 1-м этаже</w:t>
      </w:r>
    </w:p>
    <w:p>
      <w:pPr>
        <w:spacing w:after="58"/>
      </w:pPr>
      <w:r>
        <w:rPr>
          <w:b w:val="0"/>
          <w:i w:val="0"/>
        </w:rPr>
        <w:t>Групповые ячейки размещаются не выше третьего этажа, «…»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3.1.3.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«…» Групповые ячейки для детей до 3-х лет располагаются на 1 этаже.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3.1.3.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Планировка помещений дошкольных организаций и организаций, осуществляющих присмотр и уход за детьми, за исключением помещений, размещенных в жилых помещениях, должна обеспечить возможность формирования изолированных помещений для каждой детской группы (далее - групповая ячейка) «…»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3.1.3.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При размещении дошкольной организации и организации, осуществляющей уход и присмотр за детьми в отдельно стоящем здании групповые ячейки для детей младенческого и раннего возраста должны иметь самостоятельный вход на игровую площадку.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3.1.3.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«…» для детей с нарушениями опорно-двигательного аппарата и зрения - на первом этаже. «…»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3.1.3.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К нарушениям санитарного законодательства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проведение занятий с использованием ЭСО с воспитанниками 6 лет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продолжительность непрерывной работы с персональным компьютером 20 минут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использование 6-летними воспитанниками ноутбука без дополнительной клавиатуры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проведение гимнастики для глаз только после окончания занятия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непрерывную продолжительность работы с интерактивной доской - 5 минут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проведение занятий с ЭСО для детей младше 5 лет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продолжительность непрерывной работы с персональным компьютером 20 минут</w:t>
      </w:r>
      <w:r>
        <w:br/>
      </w:r>
      <w:r>
        <w:rPr>
          <w:b/>
          <w:i w:val="0"/>
        </w:rPr>
        <w:t>3 - использование 6-летними воспитанниками ноутбука без дополнительной клавиатуры</w:t>
      </w:r>
      <w:r>
        <w:br/>
      </w:r>
      <w:r>
        <w:rPr>
          <w:b/>
          <w:i w:val="0"/>
        </w:rPr>
        <w:t>4 - проведение гимнастики для глаз только после окончания занятия</w:t>
      </w:r>
      <w:r>
        <w:br/>
      </w:r>
      <w:r>
        <w:rPr>
          <w:b/>
          <w:i w:val="0"/>
        </w:rPr>
        <w:t>6 - проведение занятий с ЭСО для детей младше 5 лет</w:t>
      </w:r>
    </w:p>
    <w:p>
      <w:pPr>
        <w:spacing w:after="58"/>
      </w:pPr>
      <w:r>
        <w:rPr>
          <w:b w:val="0"/>
          <w:i w:val="0"/>
        </w:rPr>
        <w:t>В соответствии с таблицей 6.8. части VI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продолжительность работы с персональным компьютером на занятии для детей 6-7 лет не более 15 мин.</w:t>
      </w:r>
    </w:p>
    <w:p>
      <w:pPr>
        <w:spacing w:after="58"/>
      </w:pPr>
      <w:r>
        <w:rPr>
          <w:b w:val="0"/>
          <w:i w:val="0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6.8, ч. VI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При использовании ЭСО с демонстрацией обучающих фильмов, программ или иной информации, предусматривающих ее фиксацию в тетрадях воспитанниками и обучающимися, продолжительность непрерывного использования экрана не должна превышать для детей 5-7 лет - 5-7 минут.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2.10.2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соответствии с п.189 части VI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для детей 6-7 лет «…» использование ноутбуков возможно при наличии дополнительной клавиатуры.</w:t>
      </w:r>
    </w:p>
    <w:p>
      <w:pPr>
        <w:spacing w:after="58"/>
      </w:pPr>
      <w:r>
        <w:rPr>
          <w:b w:val="0"/>
          <w:i w:val="0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п.189, ч. VI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4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При использовании ЭСО во время занятий и перемен должна проводиться гимнастика для глаз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2.10.2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4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Занятия с использованием ЭСО в возрастных группах до 5 лет не проводятся.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2.10.2.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4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К нарушениям санитарного законодательства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отсутствие документов об оценке (подтверждении) соответствия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наличие поверхности с вентиляционными отверстиями игрушки «Домик»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острые кромки и зазоры в деталях пластикового конструктора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твердых инородных предметов в наполнителе мягконабивной игрушки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нарушение целостности швов мягконабивных игрушек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несоблюдение требований, касающихся мытья игрушек в конце рабочего дня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отсутствие документов об оценке (подтверждении) соответствия</w:t>
      </w:r>
      <w:r>
        <w:br/>
      </w:r>
      <w:r>
        <w:rPr>
          <w:b/>
          <w:i w:val="0"/>
        </w:rPr>
        <w:t>3 - острые кромки и зазоры в деталях пластикового конструктора</w:t>
      </w:r>
      <w:r>
        <w:br/>
      </w:r>
      <w:r>
        <w:rPr>
          <w:b/>
          <w:i w:val="0"/>
        </w:rPr>
        <w:t>4 - наличие твердых инородных предметов в наполнителе мягконабивной игрушки</w:t>
      </w:r>
      <w:r>
        <w:br/>
      </w:r>
      <w:r>
        <w:rPr>
          <w:b/>
          <w:i w:val="0"/>
        </w:rPr>
        <w:t>5 - нарушение целостности швов мягконабивных игрушек</w:t>
      </w:r>
      <w:r>
        <w:br/>
      </w:r>
      <w:r>
        <w:rPr>
          <w:b/>
          <w:i w:val="0"/>
        </w:rPr>
        <w:t>6 - несоблюдение требований, касающихся мытья игрушек в конце рабочего дня</w:t>
      </w:r>
    </w:p>
    <w:p>
      <w:pPr>
        <w:spacing w:after="58"/>
      </w:pPr>
      <w:r>
        <w:rPr>
          <w:b w:val="0"/>
          <w:i w:val="0"/>
        </w:rPr>
        <w:t>Вновь приобретаемое оборудование, игры и игрушки для детей должны иметь документы об оценке (подтверждении) соответствия.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3.2.3.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4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Доступные кромки, острые концы, жесткие детали, пружины, крепежные детали, зазоры, углы, выступы, шнуры, канаты и крепления игрушек должны исключать риск травмирования ребенка.</w:t>
      </w:r>
    </w:p>
    <w:p>
      <w:pPr>
        <w:spacing w:after="58"/>
      </w:pPr>
      <w:r>
        <w:rPr>
          <w:b w:val="0"/>
          <w:i w:val="0"/>
        </w:rPr>
        <w:t>ТР ТС 008/2011 «О безопасности игрушек», п. 3.2, ст.4.</w:t>
      </w:r>
    </w:p>
    <w:p>
      <w:pPr>
        <w:spacing w:after="58"/>
      </w:pPr>
      <w:hyperlink r:id="rId46">
        <w:r>
          <w:rPr>
            <w:color w:val="173C49"/>
            <w:u w:val="single"/>
          </w:rPr>
          <w:t xml:space="preserve">Технический регламент Таможенного союза ТР ТС 008/2011 "О безопасности игрушек" (с изменениями на 17 марта 2017 года). Утвержден решением Комиссии Таможенного союза от 23 сентября 2011 года N 798</w:t>
        </w:r>
      </w:hyperlink>
    </w:p>
    <w:p>
      <w:pPr>
        <w:spacing w:after="58"/>
      </w:pPr>
      <w:hyperlink r:id="rId4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Мягконабивная игрушка не должна содержать в наполнителе твердых или острых инородных предметов.</w:t>
      </w:r>
    </w:p>
    <w:p>
      <w:pPr>
        <w:spacing w:after="58"/>
      </w:pPr>
      <w:r>
        <w:rPr>
          <w:b w:val="0"/>
          <w:i w:val="0"/>
        </w:rPr>
        <w:t>ТР ТС 008/2011 «О безопасности игрушек», п. 3.2, ст.4.</w:t>
      </w:r>
    </w:p>
    <w:p>
      <w:pPr>
        <w:spacing w:after="58"/>
      </w:pPr>
      <w:hyperlink r:id="rId46">
        <w:r>
          <w:rPr>
            <w:color w:val="173C49"/>
            <w:u w:val="single"/>
          </w:rPr>
          <w:t xml:space="preserve">Технический регламент Таможенного союза ТР ТС 008/2011 "О безопасности игрушек" (с изменениями на 17 марта 2017 года). Утвержден решением Комиссии Таможенного союза от 23 сентября 2011 года N 798</w:t>
        </w:r>
      </w:hyperlink>
    </w:p>
    <w:p>
      <w:pPr>
        <w:spacing w:after="58"/>
      </w:pPr>
      <w:hyperlink r:id="rId4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Швы мягконабивной игрушки должны быть прочными.</w:t>
      </w:r>
    </w:p>
    <w:p>
      <w:pPr>
        <w:spacing w:after="58"/>
      </w:pPr>
      <w:r>
        <w:rPr>
          <w:b w:val="0"/>
          <w:i w:val="0"/>
        </w:rPr>
        <w:t>ТР ТС 008/2011 «О безопасности игрушек», п. 3.2, ст.4.</w:t>
      </w:r>
    </w:p>
    <w:p>
      <w:pPr>
        <w:spacing w:after="58"/>
      </w:pPr>
      <w:hyperlink r:id="rId46">
        <w:r>
          <w:rPr>
            <w:color w:val="173C49"/>
            <w:u w:val="single"/>
          </w:rPr>
          <w:t xml:space="preserve">Технический регламент Таможенного союза ТР ТС 008/2011 "О безопасности игрушек" (с изменениями на 17 марта 2017 года). Утвержден решением Комиссии Таможенного союза от 23 сентября 2011 года N 798</w:t>
        </w:r>
      </w:hyperlink>
    </w:p>
    <w:p>
      <w:pPr>
        <w:spacing w:after="58"/>
      </w:pPr>
      <w:hyperlink r:id="rId4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Используемое игровое оборудование должно соответствовать обязательным требованиям, установленным техническими регламентами предусматривать возможность его мытья с применением моющих и дезинфицирующих средств. Мытье игрушек и игрового оборудования проводится в конце рабочего дня и по мере необходимости.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3.3.2.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4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К нарушениям санитарного законодательства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отсутствие естественного освещения в помещениях для хранения и обработки уборочного инвентаря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зашторивание окон в спальных помещениях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уменьшение светоактивной площади окон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отсутствие естественного освещения в душевых и туалетах для персонала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2" name="Picture 32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загрязнение оконных стекол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3" name="Picture 33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нарушение целостности стекла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зашторивание окон в спальных помещениях</w:t>
      </w:r>
      <w:r>
        <w:br/>
      </w:r>
      <w:r>
        <w:rPr>
          <w:b/>
          <w:i w:val="0"/>
        </w:rPr>
        <w:t>3 - уменьшение светоактивной площади окон</w:t>
      </w:r>
      <w:r>
        <w:br/>
      </w:r>
      <w:r>
        <w:rPr>
          <w:b/>
          <w:i w:val="0"/>
        </w:rPr>
        <w:t>5 - загрязнение оконных стекол</w:t>
      </w:r>
      <w:r>
        <w:br/>
      </w:r>
      <w:r>
        <w:rPr>
          <w:b/>
          <w:i w:val="0"/>
        </w:rPr>
        <w:t>6 - нарушение целостности стекла</w:t>
      </w:r>
    </w:p>
    <w:p>
      <w:pPr>
        <w:spacing w:after="58"/>
      </w:pPr>
      <w:r>
        <w:rPr>
          <w:b w:val="0"/>
          <w:i w:val="0"/>
        </w:rPr>
        <w:t>Зашторивание окон в спальных помещениях проводится во время дневного и ночного сна, в остальное время шторы должны быть раздвинуты в целях обеспечения естественного освещения помещения.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2.8.4.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5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Конструкция регулируемых солнцезащитных устройств на окнах в исходном положении не должна уменьшать светоактивную площадь оконного проема.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2.8.4.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5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Чистка оконных стекол проводится по мере их загрязнения.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2.8.3.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5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«…» Не допускается наличие трещин и иное нарушение целостности стекла.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2.8.3.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5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Контроль за образовательной деятельностью в дошкольной образовательной организации предусматривает оценку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4" name="Picture 3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продолжительности занятий для детей дошкольного возраста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содержания занятия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5" name="Picture 3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продолжительности дневной суммарной образовательной нагрузки для детей дошкольного возраста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6" name="Picture 3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продолжительности использования интерактивной панели для детей 5-7 лет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7" name="Picture 37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наличия физкультурных минуток во время занятия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8" name="Picture 38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продолжительности использования персонального компьютера для детей 6-7 лет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продолжительности занятий для детей дошкольного возраста</w:t>
      </w:r>
      <w:r>
        <w:br/>
      </w:r>
      <w:r>
        <w:rPr>
          <w:b/>
          <w:i w:val="0"/>
        </w:rPr>
        <w:t>3 - продолжительности дневной суммарной образовательной нагрузки для детей дошкольного возраста</w:t>
      </w:r>
      <w:r>
        <w:br/>
      </w:r>
      <w:r>
        <w:rPr>
          <w:b/>
          <w:i w:val="0"/>
        </w:rPr>
        <w:t>4 - продолжительности использования интерактивной панели для детей 5-7 лет</w:t>
      </w:r>
      <w:r>
        <w:br/>
      </w:r>
      <w:r>
        <w:rPr>
          <w:b/>
          <w:i w:val="0"/>
        </w:rPr>
        <w:t>5 - наличия физкультурных минуток во время занятия</w:t>
      </w:r>
      <w:r>
        <w:br/>
      </w:r>
      <w:r>
        <w:rPr>
          <w:b/>
          <w:i w:val="0"/>
        </w:rPr>
        <w:t>6 - продолжительности использования персонального компьютера для детей 6-7 лет</w:t>
      </w:r>
    </w:p>
    <w:p>
      <w:pPr>
        <w:spacing w:after="58"/>
      </w:pPr>
      <w:r>
        <w:rPr>
          <w:b w:val="0"/>
          <w:i w:val="0"/>
        </w:rPr>
        <w:t>Контроль за образовательной деятельностью в дошкольной образовательной организации предусматривает оценку продолжительности занятий для детей дошкольного возраста.</w:t>
      </w:r>
    </w:p>
    <w:p>
      <w:pPr>
        <w:spacing w:after="58"/>
      </w:pPr>
      <w:r>
        <w:rPr>
          <w:b w:val="0"/>
          <w:i w:val="0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6.6, ч. VI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5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Контроль за образовательной деятельностью в дошкольной образовательной организации предусматривает оценку продолжительности дневной суммарной образовательной нагрузки для детей дошкольного возраста.</w:t>
      </w:r>
    </w:p>
    <w:p>
      <w:pPr>
        <w:spacing w:after="58"/>
      </w:pPr>
      <w:r>
        <w:rPr>
          <w:b w:val="0"/>
          <w:i w:val="0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6.6, ч. VI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5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Контроль за образовательной деятельностью в дошкольной образовательной организации предусматривает оценку продолжительности использования интерактивной панели для детей 5-7 лет.</w:t>
      </w:r>
    </w:p>
    <w:p>
      <w:pPr>
        <w:spacing w:after="58"/>
      </w:pPr>
      <w:r>
        <w:rPr>
          <w:b w:val="0"/>
          <w:i w:val="0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6.8, ч. VI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Для профилактики нарушений осанки во время занятий должны проводиться соответствующие физические упражнения (далее - физкультминутки).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2.10.2.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5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Контроль за образовательной деятельностью в дошкольной образовательной организации предусматривает оценку продолжительности использования персонального компьютера для детей 6-7 лет.</w:t>
      </w:r>
    </w:p>
    <w:p>
      <w:pPr>
        <w:spacing w:after="58"/>
      </w:pPr>
      <w:r>
        <w:rPr>
          <w:b w:val="0"/>
          <w:i w:val="0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табл. 6.8, ч. VI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К требованиям санитарных правил при устройстве туалетных комнат дошкольной образовательной организации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9" name="Picture 3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стеллажа с ячейками для хранения индивидуальных горшков для детей раннего возраста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0" name="Picture 4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обеспечение каждого ребенка индивидуальным сидением для унитаза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1" name="Picture 4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выделение в туалетной комнате умывальной зоны и зоны санитарных узлов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2" name="Picture 4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детской ванны для детей ясельного возраста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установление вешалок для детских полотенец в зоне санитарных узлов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3" name="Picture 43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оборудование отдельных туалетных комнат для мальчиков и девочек старших и подготовительных групп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наличие стеллажа с ячейками для хранения индивидуальных горшков для детей раннего возраста</w:t>
      </w:r>
      <w:r>
        <w:br/>
      </w:r>
      <w:r>
        <w:rPr>
          <w:b/>
          <w:i w:val="0"/>
        </w:rPr>
        <w:t>2 - обеспечение каждого ребенка индивидуальным сидением для унитаза</w:t>
      </w:r>
      <w:r>
        <w:br/>
      </w:r>
      <w:r>
        <w:rPr>
          <w:b/>
          <w:i w:val="0"/>
        </w:rPr>
        <w:t>3 - выделение в туалетной комнате умывальной зоны и зоны санитарных узлов</w:t>
      </w:r>
      <w:r>
        <w:br/>
      </w:r>
      <w:r>
        <w:rPr>
          <w:b/>
          <w:i w:val="0"/>
        </w:rPr>
        <w:t>4 - наличие детской ванны для детей ясельного возраста</w:t>
      </w:r>
      <w:r>
        <w:br/>
      </w:r>
      <w:r>
        <w:rPr>
          <w:b/>
          <w:i w:val="0"/>
        </w:rPr>
        <w:t>6 - оборудование отдельных туалетных комнат для мальчиков и девочек старших и подготовительных групп</w:t>
      </w:r>
    </w:p>
    <w:p>
      <w:pPr>
        <w:spacing w:after="58"/>
      </w:pPr>
      <w:r>
        <w:rPr>
          <w:b w:val="0"/>
          <w:i w:val="0"/>
        </w:rPr>
        <w:t>Туалеты для детей раннего возраста оборудуются в одном помещении. В нем устанавливаются умывальные раковины для детей, раковина и унитаз (в отдельной кабине) для персонала, шкаф (стеллаж) с ячейками для хранения индивидуальных горшков «…»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3.1.7.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5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«…» В зоне санитарных узлов размещаются унитазы, которые обеспечиваются индивидуальными сидениями для каждого ребенка «…»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3.1.7.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5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Туалеты дошкольной организации, организации, осуществляющей присмотр и уход за детьми, делятся на умывальную зону и зону санитарных узлов «…»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3.1.7.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5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Туалеты для детей раннего возраста оборудуются в одном помещении. В нем устанавливаются «…» детская ванна (для детей ясельного возраста) или душевой поддон «…»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3.1.7.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5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старших и подготовительных группах туалетные комнаты (отдельные кабинки) оборудуются отдельно для мальчиков и девочек.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3.1.7.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5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К критическим контрольным точкам, требующим проверки с позиций риска распространения инфекционных заболеваний,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4" name="Picture 4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ежедневное очищение ковровых покрытий с использованием пылесоса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5" name="Picture 4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маркировку уборочного инвентаря в зависимости от назначения помещений и видов работ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6" name="Picture 4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ежедневную влажную уборку помещений с применением моющих средств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7" name="Picture 4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ежедневную обработку дверных ручек, поручней, выключателей с использованием дезинфицирующих средств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8" name="Picture 48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проведение влажной уборки в групповых помещениях не реже 2 раз в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генеральную уборку всех помещений не реже одного раза в 2 месяца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ежедневное очищение ковровых покрытий с использованием пылесоса</w:t>
      </w:r>
      <w:r>
        <w:br/>
      </w:r>
      <w:r>
        <w:rPr>
          <w:b/>
          <w:i w:val="0"/>
        </w:rPr>
        <w:t>2 - маркировку уборочного инвентаря в зависимости от назначения помещений и видов работ</w:t>
      </w:r>
      <w:r>
        <w:br/>
      </w:r>
      <w:r>
        <w:rPr>
          <w:b/>
          <w:i w:val="0"/>
        </w:rPr>
        <w:t>3 - ежедневную влажную уборку помещений с применением моющих средств</w:t>
      </w:r>
      <w:r>
        <w:br/>
      </w:r>
      <w:r>
        <w:rPr>
          <w:b/>
          <w:i w:val="0"/>
        </w:rPr>
        <w:t>4 - ежедневную обработку дверных ручек, поручней, выключателей с использованием дезинфицирующих средств</w:t>
      </w:r>
      <w:r>
        <w:br/>
      </w:r>
      <w:r>
        <w:rPr>
          <w:b/>
          <w:i w:val="0"/>
        </w:rPr>
        <w:t>5 - проведение влажной уборки в групповых помещениях не реже 2 раз в день</w:t>
      </w:r>
    </w:p>
    <w:p>
      <w:pPr>
        <w:spacing w:after="58"/>
      </w:pPr>
      <w:r>
        <w:rPr>
          <w:b w:val="0"/>
          <w:i w:val="0"/>
        </w:rPr>
        <w:t>«…» Ковровые покрытия ежедневно очищаются с использованием пылесоса. «…»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2.11.2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5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Уборочный инвентарь маркируется в зависимости от назначения помещений и видов работ. Инвентарь для уборки туалетов должен иметь иную маркировку и храниться отдельно от другого инвентаря.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2.11.3.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5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Все помещения подлежат ежедневной влажной уборке с применением моющих средств.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2.11.2.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6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«…» Дверные ручки, поручни, выключатели ежедневно протираются с использованием дезинфицирующих средств. «…»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2.11.4.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6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Влажная уборка в спальнях проводится после ночного и дневного сна, в спортивных залах и групповых помещениях не реже 2 раз в день.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2.11.2.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6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К требованиям санитарного законодательства, обязательным для исполнения сотрудниками дошкольной образовательной организации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обязательное гигиеническое обучение и аттестацию персонала не реже 1 раза в 2 года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9" name="Picture 4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личной медицинской книжки у работника дошкольной образовательной организации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0" name="Picture 5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вакцинацию каждого работника в соответствии с национальным календарем профилактических прививок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1" name="Picture 5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предварительный и периодические медицинские осмотры при поступлении на работу в установленном порядке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ежедневный осмотр после окончания работы персонала дошкольной образовательной организации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2" name="Picture 52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обязательную гигиеническую подготовку и аттестацию персонала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наличие личной медицинской книжки у работника дошкольной образовательной организации</w:t>
      </w:r>
      <w:r>
        <w:br/>
      </w:r>
      <w:r>
        <w:rPr>
          <w:b/>
          <w:i w:val="0"/>
        </w:rPr>
        <w:t>3 - вакцинацию каждого работника в соответствии с национальным календарем профилактических прививок</w:t>
      </w:r>
      <w:r>
        <w:br/>
      </w:r>
      <w:r>
        <w:rPr>
          <w:b/>
          <w:i w:val="0"/>
        </w:rPr>
        <w:t>4 - предварительный и периодические медицинские осмотры при поступлении на работу в установленном порядке</w:t>
      </w:r>
      <w:r>
        <w:br/>
      </w:r>
      <w:r>
        <w:rPr>
          <w:b/>
          <w:i w:val="0"/>
        </w:rPr>
        <w:t>6 - обязательную гигиеническую подготовку и аттестацию персонала</w:t>
      </w:r>
    </w:p>
    <w:p>
      <w:pPr>
        <w:spacing w:after="58"/>
      </w:pPr>
      <w:r>
        <w:rPr>
          <w:b w:val="0"/>
          <w:i w:val="0"/>
        </w:rPr>
        <w:t>Работники хозяйствующих субъектов должны соответствовать требованиям, «..» и иметь личную медицинскую книжку с результатами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1.5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6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Работники хозяйствующих субъектов должны соответствовать требованиям, «…» иметь личную медицинскую книжку с результатами медицинских обследований и лабораторных исследований, сведениями о прививках, «…»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1.5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6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Работники хозяйствующих субъектов должны соответствовать требованиям, касающимся прохождения ими предварительных (при поступлении на работу) и периодических медицинских осмотров.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1.5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6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Работники хозяйствующих субъектов должны соответствовать требованиям, «..» и иметь личную медицинскую книжку с результатами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работе.</w:t>
      </w:r>
    </w:p>
    <w:p>
      <w:pPr>
        <w:spacing w:after="58"/>
      </w:pPr>
      <w:r>
        <w:rPr>
          <w:b w:val="0"/>
          <w:i w:val="0"/>
        </w:rPr>
        <w:t>СП 2.4.3648-20 «Санитарно-эпидемиологические требования к организациям воспитания и обучения, отдыха и оздоровления детей и молодежи», п. 1.5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63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Разработка мероприятий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Порядок оформления проверочных листов предусматривает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3" name="Picture 5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заполнение проверочных листов инспектором в электронной форме посредством внесения ответов на контрольные вопросы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подписание проверочных листов контролируемым лицом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4" name="Picture 5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формирование проверочных листов надзорными органами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5" name="Picture 5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заверение заполненных проверочных листов усиленной квалифицированной электронной подписью инспектора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инициирование внеплановых надзорных мероприятий на основании сведений, представленных в проверочном листе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6" name="Picture 56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утверждение надзорными органами списка контрольных вопросов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заполнение проверочных листов инспектором в электронной форме посредством внесения ответов на контрольные вопросы</w:t>
      </w:r>
      <w:r>
        <w:br/>
      </w:r>
      <w:r>
        <w:rPr>
          <w:b/>
          <w:i w:val="0"/>
        </w:rPr>
        <w:t>3 - формирование проверочных листов надзорными органами</w:t>
      </w:r>
      <w:r>
        <w:br/>
      </w:r>
      <w:r>
        <w:rPr>
          <w:b/>
          <w:i w:val="0"/>
        </w:rPr>
        <w:t>4 - заверение заполненных проверочных листов усиленной квалифицированной электронной подписью инспектора</w:t>
      </w:r>
      <w:r>
        <w:br/>
      </w:r>
      <w:r>
        <w:rPr>
          <w:b/>
          <w:i w:val="0"/>
        </w:rPr>
        <w:t>6 - утверждение надзорными органами списка контрольных вопросов</w:t>
      </w:r>
    </w:p>
    <w:p>
      <w:pPr>
        <w:spacing w:after="58"/>
      </w:pPr>
      <w:r>
        <w:rPr>
          <w:b w:val="0"/>
          <w:i w:val="0"/>
        </w:rPr>
        <w:t>При проведении контрольных (надзорных) мероприятий проверочные листы, указанные в решении о проведении контрольного (надзорного) мероприятия, заполняются инспектором в электронной форме посредством внесения ответов на контрольные вопросы «…»</w:t>
      </w:r>
    </w:p>
    <w:p>
      <w:pPr>
        <w:spacing w:after="58"/>
      </w:pPr>
      <w:r>
        <w:rPr>
          <w:b w:val="0"/>
          <w:i w:val="0"/>
        </w:rPr>
        <w:t>Федерального закона № 248-ФЗ «О государственном контроле (надзоре) и муниципальном контроле в Российской Федерации» от 31.07.2020, п.4 ст. 53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Федеральный закон 31 июля 2020 г. N 248-ФЗ "О государственном контроле (надзоре) и муниципальном контроле в Российской Федерации"</w:t>
        </w:r>
      </w:hyperlink>
    </w:p>
    <w:p>
      <w:pPr>
        <w:spacing w:after="58"/>
      </w:pPr>
      <w:hyperlink r:id="rId6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целях снижения рисков причинения вреда (ущерба) на объектах контроля и оптимизации проведения контрольных (надзорных) мероприятий контрольные (надзорные) органы формируют и утверждают проверочные листы (списки контрольных вопросов, ответы на которые свидетельствуют о соблюдении или несоблюдении контролируемым лицом обязательных требований).</w:t>
      </w:r>
    </w:p>
    <w:p>
      <w:pPr>
        <w:spacing w:after="58"/>
      </w:pPr>
      <w:r>
        <w:rPr>
          <w:b w:val="0"/>
          <w:i w:val="0"/>
        </w:rPr>
        <w:t>Федерального закона № 248-ФЗ «О государственном контроле (надзоре) и муниципальном контроле в Российской Федерации» от 31.07.2020, п.1 ст. 53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Федеральный закон 31 июля 2020 г. N 248-ФЗ "О государственном контроле (надзоре) и муниципальном контроле в Российской Федерации"</w:t>
        </w:r>
      </w:hyperlink>
    </w:p>
    <w:p>
      <w:pPr>
        <w:spacing w:after="58"/>
      </w:pPr>
      <w:hyperlink r:id="rId6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При проведении контрольных (надзорных) мероприятий проверочные листы, «…» заверяются усиленной квалифицированной электронной подписью инспектора.</w:t>
      </w:r>
    </w:p>
    <w:p>
      <w:pPr>
        <w:spacing w:after="58"/>
      </w:pPr>
      <w:r>
        <w:rPr>
          <w:b w:val="0"/>
          <w:i w:val="0"/>
        </w:rPr>
        <w:t>Федерального закона № 248-ФЗ «О государственном контроле (надзоре) и муниципальном контроле в Российской Федерации» от 31.07.2020, п.4 ст. 53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Федеральный закон 31 июля 2020 г. N 248-ФЗ "О государственном контроле (надзоре) и муниципальном контроле в Российской Федерации"</w:t>
        </w:r>
      </w:hyperlink>
    </w:p>
    <w:p>
      <w:pPr>
        <w:spacing w:after="58"/>
      </w:pPr>
      <w:hyperlink r:id="rId6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 целях снижения рисков причинения вреда (ущерба) на объектах контроля и оптимизации проведения контрольных (надзорных) мероприятий контрольные (надзорные) органы формируют и утверждают проверочные листы (списки контрольных вопросов, ответы на которые свидетельствуют о соблюдении или несоблюдении контролируемым лицом обязательных требований).</w:t>
      </w:r>
    </w:p>
    <w:p>
      <w:pPr>
        <w:spacing w:after="58"/>
      </w:pPr>
      <w:r>
        <w:rPr>
          <w:b w:val="0"/>
          <w:i w:val="0"/>
        </w:rPr>
        <w:t>Федерального закона № 248-ФЗ «О государственном контроле (надзоре) и муниципальном контроле в Российской Федерации» от 31.07.2020, п.1 ст. 53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Федеральный закон 31 июля 2020 г. N 248-ФЗ "О государственном контроле (надзоре) и муниципальном контроле в Российской Федерации"</w:t>
        </w:r>
      </w:hyperlink>
    </w:p>
    <w:p>
      <w:pPr>
        <w:spacing w:after="58"/>
      </w:pPr>
      <w:hyperlink r:id="rId65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Гигиена детей и подростков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image" Target="media/image8.png"/><Relationship Id="rId24" Type="http://schemas.openxmlformats.org/officeDocument/2006/relationships/hyperlink" Target="https://library.mededtech.ru/rest/documents/fzN248/" TargetMode="External"/><Relationship Id="rId25" Type="http://schemas.openxmlformats.org/officeDocument/2006/relationships/hyperlink" Target="https://library.mededtech.ru/rest/documents/fzN248/#list_item_2n81d7" TargetMode="External"/><Relationship Id="rId26" Type="http://schemas.openxmlformats.org/officeDocument/2006/relationships/hyperlink" Target="https://library.mededtech.ru/rest/documents/fzN248/#list_item_q8o1t8" TargetMode="External"/><Relationship Id="rId27" Type="http://schemas.openxmlformats.org/officeDocument/2006/relationships/hyperlink" Target="https://library.mededtech.ru/rest/documents/fzN248/#list_item_64q534" TargetMode="External"/><Relationship Id="rId28" Type="http://schemas.openxmlformats.org/officeDocument/2006/relationships/hyperlink" Target="https://library.mededtech.ru/rest/documents/fzN248/#list_item_54kkic" TargetMode="External"/><Relationship Id="rId29" Type="http://schemas.openxmlformats.org/officeDocument/2006/relationships/hyperlink" Target="https://library.mededtech.ru/rest/documents/fzN248/#list_item_fmu2vo" TargetMode="External"/><Relationship Id="rId30" Type="http://schemas.openxmlformats.org/officeDocument/2006/relationships/hyperlink" Target="https://library.mededtech.ru/rest/documents/fzN248/#list_item_c193qk" TargetMode="External"/><Relationship Id="rId31" Type="http://schemas.openxmlformats.org/officeDocument/2006/relationships/hyperlink" Target="https://library.mededtech.ru/rest/documents/sp2.4.3648_20/" TargetMode="External"/><Relationship Id="rId32" Type="http://schemas.openxmlformats.org/officeDocument/2006/relationships/hyperlink" Target="https://library.mededtech.ru/rest/documents/sp2.4.3648_20/#list_item_qp2487" TargetMode="External"/><Relationship Id="rId33" Type="http://schemas.openxmlformats.org/officeDocument/2006/relationships/image" Target="media/image9.png"/><Relationship Id="rId34" Type="http://schemas.openxmlformats.org/officeDocument/2006/relationships/hyperlink" Target="https://library.mededtech.ru/rest/documents/sp2.4.3648_20/#list_item_j626uf" TargetMode="External"/><Relationship Id="rId35" Type="http://schemas.openxmlformats.org/officeDocument/2006/relationships/hyperlink" Target="https://library.mededtech.ru/rest/documents/sp2.4.3648_20/#list_item_a8jdft" TargetMode="External"/><Relationship Id="rId36" Type="http://schemas.openxmlformats.org/officeDocument/2006/relationships/hyperlink" Target="https://library.mededtech.ru/rest/documents/sp2.4.3648_20/#list_item_4oou5c" TargetMode="External"/><Relationship Id="rId37" Type="http://schemas.openxmlformats.org/officeDocument/2006/relationships/hyperlink" Target="https://library.mededtech.ru/rest/documents/sp2.4.3648_20/#list_item_i17m52" TargetMode="External"/><Relationship Id="rId38" Type="http://schemas.openxmlformats.org/officeDocument/2006/relationships/hyperlink" Target="https://library.mededtech.ru/rest/documents/sp2.4.3648_20/#list_item_86jgom" TargetMode="External"/><Relationship Id="rId39" Type="http://schemas.openxmlformats.org/officeDocument/2006/relationships/hyperlink" Target="https://library.mededtech.ru/rest/documents/sp1.2.3685-21/" TargetMode="External"/><Relationship Id="rId40" Type="http://schemas.openxmlformats.org/officeDocument/2006/relationships/hyperlink" Target="https://library.mededtech.ru/rest/documents/sp1.2.3685-21/#tab6_8" TargetMode="External"/><Relationship Id="rId41" Type="http://schemas.openxmlformats.org/officeDocument/2006/relationships/hyperlink" Target="https://library.mededtech.ru/rest/documents/sp2.4.3648_20/#list_item_e7mn4b" TargetMode="External"/><Relationship Id="rId42" Type="http://schemas.openxmlformats.org/officeDocument/2006/relationships/hyperlink" Target="https://library.mededtech.ru/rest/documents/sp1.2.3685-21/#list_item_g30ipc" TargetMode="External"/><Relationship Id="rId43" Type="http://schemas.openxmlformats.org/officeDocument/2006/relationships/hyperlink" Target="https://library.mededtech.ru/rest/documents/sp2.4.3648_20/#list_item_imd9qn" TargetMode="External"/><Relationship Id="rId44" Type="http://schemas.openxmlformats.org/officeDocument/2006/relationships/hyperlink" Target="https://library.mededtech.ru/rest/documents/sp2.4.3648_20/#list_item_rbubs1" TargetMode="External"/><Relationship Id="rId45" Type="http://schemas.openxmlformats.org/officeDocument/2006/relationships/hyperlink" Target="https://library.mededtech.ru/rest/documents/sp2.4.3648_20/#list_item_74464b" TargetMode="External"/><Relationship Id="rId46" Type="http://schemas.openxmlformats.org/officeDocument/2006/relationships/hyperlink" Target="https://library.mededtech.ru/rest/documents/TP_TC_008_2011/" TargetMode="External"/><Relationship Id="rId47" Type="http://schemas.openxmlformats.org/officeDocument/2006/relationships/hyperlink" Target="https://library.mededtech.ru/rest/documents/TP_TC_008_2011/#list_item_sstmgb" TargetMode="External"/><Relationship Id="rId48" Type="http://schemas.openxmlformats.org/officeDocument/2006/relationships/hyperlink" Target="https://library.mededtech.ru/rest/documents/TP_TC_008_2011/#list_item_ha07is" TargetMode="External"/><Relationship Id="rId49" Type="http://schemas.openxmlformats.org/officeDocument/2006/relationships/hyperlink" Target="https://library.mededtech.ru/rest/documents/sp2.4.3648_20/#list_item_9t3be7" TargetMode="External"/><Relationship Id="rId50" Type="http://schemas.openxmlformats.org/officeDocument/2006/relationships/hyperlink" Target="https://library.mededtech.ru/rest/documents/sp2.4.3648_20/#list_item_dr6t1v" TargetMode="External"/><Relationship Id="rId51" Type="http://schemas.openxmlformats.org/officeDocument/2006/relationships/hyperlink" Target="https://library.mededtech.ru/rest/documents/sp2.4.3648_20/#list_item_749shk" TargetMode="External"/><Relationship Id="rId52" Type="http://schemas.openxmlformats.org/officeDocument/2006/relationships/hyperlink" Target="https://library.mededtech.ru/rest/documents/sp2.4.3648_20/#list_item_i30laa" TargetMode="External"/><Relationship Id="rId53" Type="http://schemas.openxmlformats.org/officeDocument/2006/relationships/hyperlink" Target="https://library.mededtech.ru/rest/documents/sp1.2.3685-21/#tab6_6" TargetMode="External"/><Relationship Id="rId54" Type="http://schemas.openxmlformats.org/officeDocument/2006/relationships/hyperlink" Target="https://library.mededtech.ru/rest/documents/sp2.4.3648_20/#list_item_n4ei9d" TargetMode="External"/><Relationship Id="rId55" Type="http://schemas.openxmlformats.org/officeDocument/2006/relationships/hyperlink" Target="https://library.mededtech.ru/rest/documents/sp2.4.3648_20/#list_item_n7a362" TargetMode="External"/><Relationship Id="rId56" Type="http://schemas.openxmlformats.org/officeDocument/2006/relationships/hyperlink" Target="https://library.mededtech.ru/rest/documents/sp2.4.3648_20/#list_item_rrv0q5" TargetMode="External"/><Relationship Id="rId57" Type="http://schemas.openxmlformats.org/officeDocument/2006/relationships/hyperlink" Target="https://library.mededtech.ru/rest/documents/sp2.4.3648_20/#list_item_lafnk1" TargetMode="External"/><Relationship Id="rId58" Type="http://schemas.openxmlformats.org/officeDocument/2006/relationships/hyperlink" Target="https://library.mededtech.ru/rest/documents/sp2.4.3648_20/#list_item_qftn54" TargetMode="External"/><Relationship Id="rId59" Type="http://schemas.openxmlformats.org/officeDocument/2006/relationships/hyperlink" Target="https://library.mededtech.ru/rest/documents/sp2.4.3648_20/#list_item_e34ht4" TargetMode="External"/><Relationship Id="rId60" Type="http://schemas.openxmlformats.org/officeDocument/2006/relationships/hyperlink" Target="https://library.mededtech.ru/rest/documents/sp2.4.3648_20/#list_item_b25902" TargetMode="External"/><Relationship Id="rId61" Type="http://schemas.openxmlformats.org/officeDocument/2006/relationships/hyperlink" Target="https://library.mededtech.ru/rest/documents/sp2.4.3648_20/#list_item_3d16rj" TargetMode="External"/><Relationship Id="rId62" Type="http://schemas.openxmlformats.org/officeDocument/2006/relationships/hyperlink" Target="https://library.mededtech.ru/rest/documents/sp2.4.3648_20/#list_item_f3k4kb" TargetMode="External"/><Relationship Id="rId63" Type="http://schemas.openxmlformats.org/officeDocument/2006/relationships/hyperlink" Target="https://library.mededtech.ru/rest/documents/sp2.4.3648_20/#paragraph_27il16" TargetMode="External"/><Relationship Id="rId64" Type="http://schemas.openxmlformats.org/officeDocument/2006/relationships/hyperlink" Target="https://library.mededtech.ru/rest/documents/fzN248/#list_item_lb2dva" TargetMode="External"/><Relationship Id="rId65" Type="http://schemas.openxmlformats.org/officeDocument/2006/relationships/hyperlink" Target="https://library.mededtech.ru/rest/documents/fzN248/#list_item_pthpr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